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FDF36" w14:textId="77777777" w:rsidR="00195681" w:rsidRPr="0074036F" w:rsidRDefault="00195681" w:rsidP="00195681">
      <w:r w:rsidRPr="0074036F">
        <w:rPr>
          <w:noProof/>
        </w:rPr>
        <w:drawing>
          <wp:inline distT="0" distB="0" distL="0" distR="0" wp14:anchorId="06C2E099" wp14:editId="7D2EF3A4">
            <wp:extent cx="5943600" cy="894715"/>
            <wp:effectExtent l="0" t="0" r="0" b="635"/>
            <wp:docPr id="620653658" name="Picture 4" descr="TIC1RE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IC1REU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94715"/>
                    </a:xfrm>
                    <a:prstGeom prst="rect">
                      <a:avLst/>
                    </a:prstGeom>
                    <a:noFill/>
                    <a:ln>
                      <a:noFill/>
                    </a:ln>
                  </pic:spPr>
                </pic:pic>
              </a:graphicData>
            </a:graphic>
          </wp:inline>
        </w:drawing>
      </w:r>
    </w:p>
    <w:p w14:paraId="3CD307DE" w14:textId="77777777" w:rsidR="00195681" w:rsidRPr="0074036F" w:rsidRDefault="00195681" w:rsidP="00195681">
      <w:r w:rsidRPr="0074036F">
        <w:rPr>
          <w:b/>
          <w:bCs/>
          <w:lang w:val="es-ES"/>
        </w:rPr>
        <w:t xml:space="preserve">Primera reunión de negociación del XIX Convenio TIC. </w:t>
      </w:r>
      <w:r w:rsidRPr="0074036F">
        <w:rPr>
          <w:b/>
          <w:bCs/>
        </w:rPr>
        <w:t xml:space="preserve">CCOO </w:t>
      </w:r>
      <w:proofErr w:type="spellStart"/>
      <w:r w:rsidRPr="0074036F">
        <w:rPr>
          <w:b/>
          <w:bCs/>
        </w:rPr>
        <w:t>presenta</w:t>
      </w:r>
      <w:proofErr w:type="spellEnd"/>
      <w:r w:rsidRPr="0074036F">
        <w:rPr>
          <w:b/>
          <w:bCs/>
        </w:rPr>
        <w:t xml:space="preserve"> </w:t>
      </w:r>
      <w:proofErr w:type="spellStart"/>
      <w:r w:rsidRPr="0074036F">
        <w:rPr>
          <w:b/>
          <w:bCs/>
        </w:rPr>
        <w:t>su</w:t>
      </w:r>
      <w:proofErr w:type="spellEnd"/>
      <w:r w:rsidRPr="0074036F">
        <w:rPr>
          <w:b/>
          <w:bCs/>
        </w:rPr>
        <w:t xml:space="preserve"> </w:t>
      </w:r>
      <w:proofErr w:type="spellStart"/>
      <w:r w:rsidRPr="0074036F">
        <w:rPr>
          <w:b/>
          <w:bCs/>
        </w:rPr>
        <w:t>propuesta</w:t>
      </w:r>
      <w:proofErr w:type="spellEnd"/>
      <w:r w:rsidRPr="0074036F">
        <w:rPr>
          <w:b/>
          <w:bCs/>
        </w:rPr>
        <w:t>.</w:t>
      </w:r>
      <w:r w:rsidRPr="0074036F">
        <w:t xml:space="preserve"> </w:t>
      </w:r>
    </w:p>
    <w:p w14:paraId="06E193C3" w14:textId="77777777" w:rsidR="00195681" w:rsidRDefault="00195681" w:rsidP="00195681">
      <w:r w:rsidRPr="0074036F">
        <w:rPr>
          <w:noProof/>
        </w:rPr>
        <w:drawing>
          <wp:inline distT="0" distB="0" distL="0" distR="0" wp14:anchorId="0D45E546" wp14:editId="4D796A4C">
            <wp:extent cx="5943600" cy="3373120"/>
            <wp:effectExtent l="0" t="0" r="0" b="0"/>
            <wp:docPr id="1300705352" name="Picture 3" descr="TIC1R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IC1RE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73120"/>
                    </a:xfrm>
                    <a:prstGeom prst="rect">
                      <a:avLst/>
                    </a:prstGeom>
                    <a:noFill/>
                    <a:ln>
                      <a:noFill/>
                    </a:ln>
                  </pic:spPr>
                </pic:pic>
              </a:graphicData>
            </a:graphic>
          </wp:inline>
        </w:drawing>
      </w:r>
    </w:p>
    <w:p w14:paraId="16EE5797" w14:textId="77777777" w:rsidR="00195681" w:rsidRPr="0074036F" w:rsidRDefault="00195681" w:rsidP="00195681">
      <w:pPr>
        <w:rPr>
          <w:lang w:val="es-ES"/>
        </w:rPr>
      </w:pPr>
      <w:r w:rsidRPr="0074036F">
        <w:rPr>
          <w:lang w:val="es-ES"/>
        </w:rPr>
        <w:t xml:space="preserve">Hoy, 30 de mayo de 2024, ha tenido lugar la primera reunión de la mesa negociadora del XIX Convenio de Consultoría, Tecnologías de la Información, Estudios de Mercado y de la Opinión Pública. </w:t>
      </w:r>
    </w:p>
    <w:p w14:paraId="50A2F4BA" w14:textId="77777777" w:rsidR="00195681" w:rsidRPr="0074036F" w:rsidRDefault="00195681" w:rsidP="00195681">
      <w:pPr>
        <w:rPr>
          <w:lang w:val="es-ES"/>
        </w:rPr>
      </w:pPr>
      <w:r w:rsidRPr="0074036F">
        <w:rPr>
          <w:lang w:val="es-ES"/>
        </w:rPr>
        <w:t xml:space="preserve">Desde </w:t>
      </w:r>
      <w:r w:rsidRPr="0074036F">
        <w:rPr>
          <w:b/>
          <w:bCs/>
          <w:lang w:val="es-ES"/>
        </w:rPr>
        <w:t>CCOO</w:t>
      </w:r>
      <w:r w:rsidRPr="0074036F">
        <w:rPr>
          <w:lang w:val="es-ES"/>
        </w:rPr>
        <w:t xml:space="preserve"> hemos presentado a la mesa una propuesta de negociación organizada en dos fases: </w:t>
      </w:r>
    </w:p>
    <w:p w14:paraId="1693583E" w14:textId="77777777" w:rsidR="00195681" w:rsidRPr="0074036F" w:rsidRDefault="00195681" w:rsidP="00195681">
      <w:r w:rsidRPr="0074036F">
        <w:rPr>
          <w:b/>
          <w:bCs/>
          <w:u w:val="single"/>
        </w:rPr>
        <w:t xml:space="preserve">Primera </w:t>
      </w:r>
      <w:proofErr w:type="spellStart"/>
      <w:r w:rsidRPr="0074036F">
        <w:rPr>
          <w:b/>
          <w:bCs/>
          <w:u w:val="single"/>
        </w:rPr>
        <w:t>fase</w:t>
      </w:r>
      <w:proofErr w:type="spellEnd"/>
      <w:r w:rsidRPr="0074036F">
        <w:rPr>
          <w:b/>
          <w:bCs/>
          <w:u w:val="single"/>
        </w:rPr>
        <w:t xml:space="preserve">: </w:t>
      </w:r>
      <w:proofErr w:type="spellStart"/>
      <w:r w:rsidRPr="0074036F">
        <w:rPr>
          <w:b/>
          <w:bCs/>
          <w:u w:val="single"/>
        </w:rPr>
        <w:t>Negociación</w:t>
      </w:r>
      <w:proofErr w:type="spellEnd"/>
      <w:r w:rsidRPr="0074036F">
        <w:rPr>
          <w:b/>
          <w:bCs/>
          <w:u w:val="single"/>
        </w:rPr>
        <w:t xml:space="preserve"> </w:t>
      </w:r>
      <w:proofErr w:type="spellStart"/>
      <w:r w:rsidRPr="0074036F">
        <w:rPr>
          <w:b/>
          <w:bCs/>
          <w:u w:val="single"/>
        </w:rPr>
        <w:t>Tablas</w:t>
      </w:r>
      <w:proofErr w:type="spellEnd"/>
      <w:r w:rsidRPr="0074036F">
        <w:rPr>
          <w:b/>
          <w:bCs/>
          <w:u w:val="single"/>
        </w:rPr>
        <w:t xml:space="preserve"> </w:t>
      </w:r>
      <w:proofErr w:type="spellStart"/>
      <w:r w:rsidRPr="0074036F">
        <w:rPr>
          <w:b/>
          <w:bCs/>
          <w:u w:val="single"/>
        </w:rPr>
        <w:t>Salariales</w:t>
      </w:r>
      <w:proofErr w:type="spellEnd"/>
      <w:r w:rsidRPr="0074036F">
        <w:rPr>
          <w:b/>
          <w:bCs/>
        </w:rPr>
        <w:t xml:space="preserve"> </w:t>
      </w:r>
    </w:p>
    <w:p w14:paraId="2DACFFBE" w14:textId="77777777" w:rsidR="00195681" w:rsidRPr="0074036F" w:rsidRDefault="00195681" w:rsidP="00195681">
      <w:pPr>
        <w:numPr>
          <w:ilvl w:val="0"/>
          <w:numId w:val="1"/>
        </w:numPr>
        <w:rPr>
          <w:lang w:val="es-ES"/>
        </w:rPr>
      </w:pPr>
      <w:r w:rsidRPr="0074036F">
        <w:rPr>
          <w:lang w:val="es-ES"/>
        </w:rPr>
        <w:t xml:space="preserve">Tablas salariales. Incremento mínimo de un porcentaje acumulado de 2 dígitos. </w:t>
      </w:r>
    </w:p>
    <w:p w14:paraId="60DBDEDC" w14:textId="77777777" w:rsidR="00195681" w:rsidRPr="0074036F" w:rsidRDefault="00195681" w:rsidP="00195681">
      <w:pPr>
        <w:numPr>
          <w:ilvl w:val="0"/>
          <w:numId w:val="1"/>
        </w:numPr>
        <w:rPr>
          <w:lang w:val="es-ES"/>
        </w:rPr>
      </w:pPr>
      <w:r w:rsidRPr="0074036F">
        <w:rPr>
          <w:lang w:val="es-ES"/>
        </w:rPr>
        <w:t xml:space="preserve">Eliminación del Artículo 7 del Convenio "Compensación y Absorción de condiciones económicas". </w:t>
      </w:r>
    </w:p>
    <w:p w14:paraId="6E0178A8" w14:textId="77777777" w:rsidR="00195681" w:rsidRPr="0074036F" w:rsidRDefault="00195681" w:rsidP="00195681">
      <w:pPr>
        <w:numPr>
          <w:ilvl w:val="0"/>
          <w:numId w:val="1"/>
        </w:numPr>
        <w:rPr>
          <w:lang w:val="es-ES"/>
        </w:rPr>
      </w:pPr>
      <w:r w:rsidRPr="0074036F">
        <w:rPr>
          <w:lang w:val="es-ES"/>
        </w:rPr>
        <w:t xml:space="preserve">Inclusión de una cláusula de revisión salarial vinculada al IPC. </w:t>
      </w:r>
    </w:p>
    <w:p w14:paraId="497EC3F6" w14:textId="77777777" w:rsidR="00195681" w:rsidRPr="0074036F" w:rsidRDefault="00195681" w:rsidP="00195681">
      <w:pPr>
        <w:numPr>
          <w:ilvl w:val="0"/>
          <w:numId w:val="1"/>
        </w:numPr>
        <w:rPr>
          <w:lang w:val="es-ES"/>
        </w:rPr>
      </w:pPr>
      <w:r w:rsidRPr="0074036F">
        <w:rPr>
          <w:lang w:val="es-ES"/>
        </w:rPr>
        <w:t xml:space="preserve">Eliminación del último nivel de cada área profesional. </w:t>
      </w:r>
    </w:p>
    <w:p w14:paraId="1F3082D2" w14:textId="77777777" w:rsidR="00195681" w:rsidRPr="0074036F" w:rsidRDefault="00195681" w:rsidP="00195681">
      <w:pPr>
        <w:numPr>
          <w:ilvl w:val="0"/>
          <w:numId w:val="1"/>
        </w:numPr>
        <w:rPr>
          <w:lang w:val="es-ES"/>
        </w:rPr>
      </w:pPr>
      <w:r w:rsidRPr="0074036F">
        <w:rPr>
          <w:lang w:val="es-ES"/>
        </w:rPr>
        <w:t xml:space="preserve">Vigencia del Convenio de 3 años. </w:t>
      </w:r>
    </w:p>
    <w:p w14:paraId="23176C96" w14:textId="77777777" w:rsidR="00195681" w:rsidRPr="0074036F" w:rsidRDefault="00195681" w:rsidP="00195681">
      <w:pPr>
        <w:rPr>
          <w:lang w:val="es-ES"/>
        </w:rPr>
      </w:pPr>
      <w:r w:rsidRPr="0074036F">
        <w:rPr>
          <w:b/>
          <w:bCs/>
          <w:u w:val="single"/>
          <w:lang w:val="es-ES"/>
        </w:rPr>
        <w:t>Segunda fase: Resto de temas importantes:</w:t>
      </w:r>
      <w:r w:rsidRPr="0074036F">
        <w:rPr>
          <w:b/>
          <w:bCs/>
          <w:lang w:val="es-ES"/>
        </w:rPr>
        <w:t xml:space="preserve"> </w:t>
      </w:r>
    </w:p>
    <w:p w14:paraId="54AD761B" w14:textId="77777777" w:rsidR="00195681" w:rsidRPr="0074036F" w:rsidRDefault="00195681" w:rsidP="00195681">
      <w:pPr>
        <w:numPr>
          <w:ilvl w:val="0"/>
          <w:numId w:val="2"/>
        </w:numPr>
      </w:pPr>
      <w:proofErr w:type="spellStart"/>
      <w:r w:rsidRPr="0074036F">
        <w:lastRenderedPageBreak/>
        <w:t>Guardias</w:t>
      </w:r>
      <w:proofErr w:type="spellEnd"/>
      <w:r w:rsidRPr="0074036F">
        <w:t xml:space="preserve">, </w:t>
      </w:r>
      <w:proofErr w:type="spellStart"/>
      <w:r w:rsidRPr="0074036F">
        <w:t>turnos</w:t>
      </w:r>
      <w:proofErr w:type="spellEnd"/>
      <w:r w:rsidRPr="0074036F">
        <w:t xml:space="preserve"> y </w:t>
      </w:r>
      <w:proofErr w:type="spellStart"/>
      <w:r w:rsidRPr="0074036F">
        <w:t>disponibilidades</w:t>
      </w:r>
      <w:proofErr w:type="spellEnd"/>
      <w:r w:rsidRPr="0074036F">
        <w:t xml:space="preserve">. </w:t>
      </w:r>
    </w:p>
    <w:p w14:paraId="1D98CBD1" w14:textId="77777777" w:rsidR="00195681" w:rsidRPr="0074036F" w:rsidRDefault="00195681" w:rsidP="00195681">
      <w:pPr>
        <w:numPr>
          <w:ilvl w:val="0"/>
          <w:numId w:val="2"/>
        </w:numPr>
        <w:rPr>
          <w:lang w:val="es-ES"/>
        </w:rPr>
      </w:pPr>
      <w:r w:rsidRPr="0074036F">
        <w:rPr>
          <w:lang w:val="es-ES"/>
        </w:rPr>
        <w:t xml:space="preserve">Nocturnidad, trabajo en fines de semana y festivos e intervenciones. </w:t>
      </w:r>
    </w:p>
    <w:p w14:paraId="09CFDAE2" w14:textId="77777777" w:rsidR="00195681" w:rsidRPr="0074036F" w:rsidRDefault="00195681" w:rsidP="00195681">
      <w:pPr>
        <w:numPr>
          <w:ilvl w:val="0"/>
          <w:numId w:val="2"/>
        </w:numPr>
        <w:rPr>
          <w:lang w:val="es-ES"/>
        </w:rPr>
      </w:pPr>
      <w:r w:rsidRPr="0074036F">
        <w:rPr>
          <w:lang w:val="es-ES"/>
        </w:rPr>
        <w:t xml:space="preserve">Actualización de los importes de: </w:t>
      </w:r>
    </w:p>
    <w:p w14:paraId="060CCE4C" w14:textId="77777777" w:rsidR="00195681" w:rsidRPr="0074036F" w:rsidRDefault="00195681" w:rsidP="00195681">
      <w:pPr>
        <w:numPr>
          <w:ilvl w:val="1"/>
          <w:numId w:val="2"/>
        </w:numPr>
      </w:pPr>
      <w:proofErr w:type="spellStart"/>
      <w:r w:rsidRPr="0074036F">
        <w:t>Teletrabajo</w:t>
      </w:r>
      <w:proofErr w:type="spellEnd"/>
      <w:r w:rsidRPr="0074036F">
        <w:t xml:space="preserve">. </w:t>
      </w:r>
    </w:p>
    <w:p w14:paraId="3452E3F2" w14:textId="77777777" w:rsidR="00195681" w:rsidRPr="0074036F" w:rsidRDefault="00195681" w:rsidP="00195681">
      <w:pPr>
        <w:numPr>
          <w:ilvl w:val="1"/>
          <w:numId w:val="2"/>
        </w:numPr>
      </w:pPr>
      <w:proofErr w:type="spellStart"/>
      <w:r w:rsidRPr="0074036F">
        <w:t>Kilometraje</w:t>
      </w:r>
      <w:proofErr w:type="spellEnd"/>
      <w:r w:rsidRPr="0074036F">
        <w:t xml:space="preserve">. </w:t>
      </w:r>
    </w:p>
    <w:p w14:paraId="6AFF8671" w14:textId="77777777" w:rsidR="00195681" w:rsidRPr="0074036F" w:rsidRDefault="00195681" w:rsidP="00195681">
      <w:pPr>
        <w:numPr>
          <w:ilvl w:val="1"/>
          <w:numId w:val="2"/>
        </w:numPr>
        <w:rPr>
          <w:lang w:val="es-ES"/>
        </w:rPr>
      </w:pPr>
      <w:r w:rsidRPr="0074036F">
        <w:rPr>
          <w:lang w:val="es-ES"/>
        </w:rPr>
        <w:t xml:space="preserve">Dietas: actualización de los importes y regulación. </w:t>
      </w:r>
    </w:p>
    <w:p w14:paraId="67D57A7C" w14:textId="77777777" w:rsidR="00195681" w:rsidRPr="0074036F" w:rsidRDefault="00195681" w:rsidP="00195681">
      <w:pPr>
        <w:numPr>
          <w:ilvl w:val="1"/>
          <w:numId w:val="2"/>
        </w:numPr>
        <w:rPr>
          <w:lang w:val="es-ES"/>
        </w:rPr>
      </w:pPr>
      <w:r w:rsidRPr="0074036F">
        <w:rPr>
          <w:lang w:val="es-ES"/>
        </w:rPr>
        <w:t xml:space="preserve">Definición de los diferentes grupos y niveles de todas las áreas del Convenio. </w:t>
      </w:r>
    </w:p>
    <w:p w14:paraId="03C8D45F" w14:textId="77777777" w:rsidR="00195681" w:rsidRPr="0074036F" w:rsidRDefault="00195681" w:rsidP="00195681">
      <w:pPr>
        <w:numPr>
          <w:ilvl w:val="1"/>
          <w:numId w:val="2"/>
        </w:numPr>
        <w:rPr>
          <w:lang w:val="es-ES"/>
        </w:rPr>
      </w:pPr>
      <w:r w:rsidRPr="0074036F">
        <w:rPr>
          <w:lang w:val="es-ES"/>
        </w:rPr>
        <w:t xml:space="preserve">Adecuación del Texto a la legislación actual en todos los ámbitos: </w:t>
      </w:r>
    </w:p>
    <w:p w14:paraId="4A87F483" w14:textId="77777777" w:rsidR="00195681" w:rsidRPr="0074036F" w:rsidRDefault="00195681" w:rsidP="00195681">
      <w:pPr>
        <w:numPr>
          <w:ilvl w:val="2"/>
          <w:numId w:val="2"/>
        </w:numPr>
      </w:pPr>
      <w:proofErr w:type="spellStart"/>
      <w:r w:rsidRPr="0074036F">
        <w:t>Igualdad</w:t>
      </w:r>
      <w:proofErr w:type="spellEnd"/>
      <w:r w:rsidRPr="0074036F">
        <w:t xml:space="preserve">, </w:t>
      </w:r>
      <w:proofErr w:type="spellStart"/>
      <w:r w:rsidRPr="0074036F">
        <w:t>conciliación</w:t>
      </w:r>
      <w:proofErr w:type="spellEnd"/>
      <w:r>
        <w:t xml:space="preserve"> </w:t>
      </w:r>
      <w:r w:rsidRPr="0074036F">
        <w:t xml:space="preserve">2026 </w:t>
      </w:r>
    </w:p>
    <w:p w14:paraId="5CBC21AD" w14:textId="77777777" w:rsidR="00195681" w:rsidRPr="0074036F" w:rsidRDefault="00195681" w:rsidP="00195681">
      <w:pPr>
        <w:numPr>
          <w:ilvl w:val="2"/>
          <w:numId w:val="2"/>
        </w:numPr>
      </w:pPr>
      <w:r w:rsidRPr="0074036F">
        <w:t xml:space="preserve">Salud </w:t>
      </w:r>
      <w:proofErr w:type="spellStart"/>
      <w:r w:rsidRPr="0074036F">
        <w:t>laboral</w:t>
      </w:r>
      <w:proofErr w:type="spellEnd"/>
      <w:r>
        <w:t xml:space="preserve"> </w:t>
      </w:r>
      <w:r w:rsidRPr="0074036F">
        <w:t xml:space="preserve">2026 </w:t>
      </w:r>
    </w:p>
    <w:p w14:paraId="3864CCC1" w14:textId="77777777" w:rsidR="00195681" w:rsidRPr="0074036F" w:rsidRDefault="00195681" w:rsidP="00195681">
      <w:pPr>
        <w:rPr>
          <w:lang w:val="es-ES"/>
        </w:rPr>
      </w:pPr>
      <w:r w:rsidRPr="0074036F">
        <w:rPr>
          <w:b/>
          <w:bCs/>
          <w:lang w:val="es-ES"/>
        </w:rPr>
        <w:t>¿Por qué razón CCOO</w:t>
      </w:r>
      <w:r w:rsidRPr="0074036F">
        <w:rPr>
          <w:lang w:val="es-ES"/>
        </w:rPr>
        <w:t xml:space="preserve"> </w:t>
      </w:r>
      <w:r w:rsidRPr="0074036F">
        <w:rPr>
          <w:b/>
          <w:bCs/>
          <w:lang w:val="es-ES"/>
        </w:rPr>
        <w:t>propone realizar la negociación en dos fases?</w:t>
      </w:r>
      <w:r w:rsidRPr="0074036F">
        <w:rPr>
          <w:lang w:val="es-ES"/>
        </w:rPr>
        <w:t xml:space="preserve"> </w:t>
      </w:r>
    </w:p>
    <w:p w14:paraId="0E0FD8F7" w14:textId="77777777" w:rsidR="00195681" w:rsidRPr="0074036F" w:rsidRDefault="00195681" w:rsidP="00195681">
      <w:pPr>
        <w:rPr>
          <w:lang w:val="es-ES"/>
        </w:rPr>
      </w:pPr>
      <w:r w:rsidRPr="0074036F">
        <w:rPr>
          <w:lang w:val="es-ES"/>
        </w:rPr>
        <w:t xml:space="preserve">Nuestro </w:t>
      </w:r>
      <w:r w:rsidRPr="0074036F">
        <w:rPr>
          <w:b/>
          <w:bCs/>
          <w:lang w:val="es-ES"/>
        </w:rPr>
        <w:t xml:space="preserve">objetivo </w:t>
      </w:r>
      <w:r w:rsidRPr="0074036F">
        <w:rPr>
          <w:lang w:val="es-ES"/>
        </w:rPr>
        <w:t xml:space="preserve">es tener un nuevo convenio el próximo </w:t>
      </w:r>
      <w:r w:rsidRPr="0074036F">
        <w:rPr>
          <w:b/>
          <w:bCs/>
          <w:lang w:val="es-ES"/>
        </w:rPr>
        <w:t>1 de enero de 2025</w:t>
      </w:r>
      <w:r w:rsidRPr="0074036F">
        <w:rPr>
          <w:lang w:val="es-ES"/>
        </w:rPr>
        <w:t xml:space="preserve">. Cada año con el Convenio expirado supone una pérdida de poder adquisitivo especialmente grave para los salarios más bajos. </w:t>
      </w:r>
    </w:p>
    <w:p w14:paraId="11032ED6" w14:textId="77777777" w:rsidR="00195681" w:rsidRPr="0074036F" w:rsidRDefault="00195681" w:rsidP="00195681">
      <w:pPr>
        <w:rPr>
          <w:lang w:val="es-ES"/>
        </w:rPr>
      </w:pPr>
      <w:r w:rsidRPr="0074036F">
        <w:rPr>
          <w:lang w:val="es-ES"/>
        </w:rPr>
        <w:t xml:space="preserve">Para conseguir este objetivo, es necesario que las empresas incluyan en el presupuesto de 2025 un incremento de costes salariales antes del 30 de junio (o del 30 de septiembre) de 2024. </w:t>
      </w:r>
    </w:p>
    <w:p w14:paraId="42287693" w14:textId="77777777" w:rsidR="00195681" w:rsidRPr="0074036F" w:rsidRDefault="00195681" w:rsidP="00195681">
      <w:pPr>
        <w:rPr>
          <w:lang w:val="es-ES"/>
        </w:rPr>
      </w:pPr>
      <w:r w:rsidRPr="0074036F">
        <w:rPr>
          <w:b/>
          <w:bCs/>
          <w:lang w:val="es-ES"/>
        </w:rPr>
        <w:t>Prioridad:</w:t>
      </w:r>
      <w:r w:rsidRPr="0074036F">
        <w:rPr>
          <w:lang w:val="es-ES"/>
        </w:rPr>
        <w:t xml:space="preserve"> </w:t>
      </w:r>
    </w:p>
    <w:p w14:paraId="2559AD09" w14:textId="77777777" w:rsidR="00195681" w:rsidRPr="0074036F" w:rsidRDefault="00195681" w:rsidP="00195681">
      <w:pPr>
        <w:rPr>
          <w:lang w:val="es-ES"/>
        </w:rPr>
      </w:pPr>
      <w:r w:rsidRPr="0074036F">
        <w:rPr>
          <w:lang w:val="es-ES"/>
        </w:rPr>
        <w:t xml:space="preserve">Queremos dar prioridad a los </w:t>
      </w:r>
      <w:r w:rsidRPr="0074036F">
        <w:rPr>
          <w:b/>
          <w:bCs/>
          <w:lang w:val="es-ES"/>
        </w:rPr>
        <w:t>incrementos salariales</w:t>
      </w:r>
      <w:r w:rsidRPr="0074036F">
        <w:rPr>
          <w:lang w:val="es-ES"/>
        </w:rPr>
        <w:t xml:space="preserve"> y es fundamental que éstos lleguen a todas las personas que trabajamos en el Sector. Como todos sabemos, la </w:t>
      </w:r>
      <w:r w:rsidRPr="0074036F">
        <w:rPr>
          <w:b/>
          <w:bCs/>
          <w:lang w:val="es-ES"/>
        </w:rPr>
        <w:t>cláusula de compensación y absorción</w:t>
      </w:r>
      <w:r w:rsidRPr="0074036F">
        <w:rPr>
          <w:lang w:val="es-ES"/>
        </w:rPr>
        <w:t xml:space="preserve"> impide que la mayor parte del Sector perciba los incrementos pactados y esto no puede continuar así. </w:t>
      </w:r>
    </w:p>
    <w:p w14:paraId="7C4FFE9E" w14:textId="77777777" w:rsidR="00195681" w:rsidRPr="0074036F" w:rsidRDefault="00195681" w:rsidP="00195681">
      <w:pPr>
        <w:rPr>
          <w:lang w:val="es-ES"/>
        </w:rPr>
      </w:pPr>
      <w:r w:rsidRPr="0074036F">
        <w:rPr>
          <w:b/>
          <w:bCs/>
          <w:lang w:val="es-ES"/>
        </w:rPr>
        <w:t>Resultados extraordinarios:</w:t>
      </w:r>
      <w:r w:rsidRPr="0074036F">
        <w:rPr>
          <w:lang w:val="es-ES"/>
        </w:rPr>
        <w:t xml:space="preserve"> </w:t>
      </w:r>
    </w:p>
    <w:p w14:paraId="23E7F720" w14:textId="77777777" w:rsidR="00195681" w:rsidRPr="0074036F" w:rsidRDefault="00195681" w:rsidP="00195681">
      <w:pPr>
        <w:rPr>
          <w:lang w:val="es-ES"/>
        </w:rPr>
      </w:pPr>
      <w:r w:rsidRPr="0074036F">
        <w:rPr>
          <w:lang w:val="es-ES"/>
        </w:rPr>
        <w:t xml:space="preserve">En </w:t>
      </w:r>
      <w:r w:rsidRPr="0074036F">
        <w:rPr>
          <w:b/>
          <w:bCs/>
          <w:lang w:val="es-ES"/>
        </w:rPr>
        <w:t>CCOO</w:t>
      </w:r>
      <w:r w:rsidRPr="0074036F">
        <w:rPr>
          <w:lang w:val="es-ES"/>
        </w:rPr>
        <w:t xml:space="preserve"> tenemos claro que, en el escenario actual de resultados extraordinarios año tras año, con un incremento de remuneración al accionario de las empresas de IBEX35 del 46% (muchas de ellas vinculadas al sector TIC), este convenio debe garantizar un reparto justo de la riqueza generada. No puede ser que los verdaderos artífices de los ingentes beneficios del sector pierdan poder adquisitivo año tras año. </w:t>
      </w:r>
    </w:p>
    <w:p w14:paraId="150046B1" w14:textId="77777777" w:rsidR="00195681" w:rsidRPr="0074036F" w:rsidRDefault="00195681" w:rsidP="00195681">
      <w:pPr>
        <w:rPr>
          <w:lang w:val="es-ES"/>
        </w:rPr>
      </w:pPr>
      <w:r w:rsidRPr="0074036F">
        <w:rPr>
          <w:lang w:val="es-ES"/>
        </w:rPr>
        <w:t xml:space="preserve">Informaros, por último, que se ha acordado como fecha de la próxima reunión el </w:t>
      </w:r>
      <w:r w:rsidRPr="0074036F">
        <w:rPr>
          <w:b/>
          <w:bCs/>
          <w:lang w:val="es-ES"/>
        </w:rPr>
        <w:t>24 de junio</w:t>
      </w:r>
      <w:r w:rsidRPr="0074036F">
        <w:rPr>
          <w:lang w:val="es-ES"/>
        </w:rPr>
        <w:t xml:space="preserve">. </w:t>
      </w:r>
    </w:p>
    <w:p w14:paraId="46A4B364" w14:textId="77777777" w:rsidR="00195681" w:rsidRDefault="00195681" w:rsidP="00195681">
      <w:proofErr w:type="spellStart"/>
      <w:r w:rsidRPr="0074036F">
        <w:t>Os</w:t>
      </w:r>
      <w:proofErr w:type="spellEnd"/>
      <w:r w:rsidRPr="0074036F">
        <w:t xml:space="preserve"> </w:t>
      </w:r>
      <w:proofErr w:type="spellStart"/>
      <w:r w:rsidRPr="0074036F">
        <w:t>seguiremos</w:t>
      </w:r>
      <w:proofErr w:type="spellEnd"/>
      <w:r w:rsidRPr="0074036F">
        <w:t xml:space="preserve"> </w:t>
      </w:r>
      <w:proofErr w:type="spellStart"/>
      <w:r w:rsidRPr="0074036F">
        <w:t>informando</w:t>
      </w:r>
      <w:proofErr w:type="spellEnd"/>
      <w:r w:rsidRPr="0074036F">
        <w:t xml:space="preserve">. </w:t>
      </w:r>
    </w:p>
    <w:tbl>
      <w:tblPr>
        <w:tblW w:w="16305" w:type="dxa"/>
        <w:tblCellSpacing w:w="15" w:type="dxa"/>
        <w:tblCellMar>
          <w:top w:w="15" w:type="dxa"/>
          <w:left w:w="15" w:type="dxa"/>
          <w:bottom w:w="15" w:type="dxa"/>
          <w:right w:w="15" w:type="dxa"/>
        </w:tblCellMar>
        <w:tblLook w:val="04A0" w:firstRow="1" w:lastRow="0" w:firstColumn="1" w:lastColumn="0" w:noHBand="0" w:noVBand="1"/>
      </w:tblPr>
      <w:tblGrid>
        <w:gridCol w:w="16305"/>
      </w:tblGrid>
      <w:tr w:rsidR="00195681" w:rsidRPr="0074036F" w14:paraId="3215502D" w14:textId="77777777" w:rsidTr="00480A3D">
        <w:trPr>
          <w:tblCellSpacing w:w="15" w:type="dxa"/>
        </w:trPr>
        <w:tc>
          <w:tcPr>
            <w:tcW w:w="0" w:type="auto"/>
            <w:vAlign w:val="center"/>
            <w:hideMark/>
          </w:tcPr>
          <w:p w14:paraId="3782DAEC" w14:textId="77777777" w:rsidR="00195681" w:rsidRPr="0074036F" w:rsidRDefault="00195681" w:rsidP="00480A3D"/>
        </w:tc>
      </w:tr>
      <w:tr w:rsidR="00195681" w:rsidRPr="0074036F" w14:paraId="1404BF5C" w14:textId="77777777" w:rsidTr="00480A3D">
        <w:trPr>
          <w:tblCellSpacing w:w="15" w:type="dxa"/>
        </w:trPr>
        <w:tc>
          <w:tcPr>
            <w:tcW w:w="0" w:type="auto"/>
            <w:vAlign w:val="center"/>
            <w:hideMark/>
          </w:tcPr>
          <w:p w14:paraId="76B189EA" w14:textId="77777777" w:rsidR="00195681" w:rsidRPr="0074036F" w:rsidRDefault="00195681" w:rsidP="00480A3D">
            <w:r w:rsidRPr="0074036F">
              <w:rPr>
                <w:noProof/>
                <w:u w:val="single"/>
              </w:rPr>
              <w:drawing>
                <wp:inline distT="0" distB="0" distL="0" distR="0" wp14:anchorId="45EFC478" wp14:editId="1A5107C9">
                  <wp:extent cx="6109504" cy="1473200"/>
                  <wp:effectExtent l="0" t="0" r="5715" b="0"/>
                  <wp:docPr id="857033437" name="Picture 6" descr="ELPODER">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LPO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3688" cy="1481443"/>
                          </a:xfrm>
                          <a:prstGeom prst="rect">
                            <a:avLst/>
                          </a:prstGeom>
                          <a:noFill/>
                          <a:ln>
                            <a:noFill/>
                          </a:ln>
                        </pic:spPr>
                      </pic:pic>
                    </a:graphicData>
                  </a:graphic>
                </wp:inline>
              </w:drawing>
            </w:r>
          </w:p>
        </w:tc>
      </w:tr>
    </w:tbl>
    <w:p w14:paraId="152DEEE3" w14:textId="77777777" w:rsidR="00195681" w:rsidRPr="0074036F" w:rsidRDefault="00195681" w:rsidP="00195681"/>
    <w:p w14:paraId="1E32325D" w14:textId="77777777" w:rsidR="00195681" w:rsidRDefault="00195681" w:rsidP="00195681"/>
    <w:p w14:paraId="5D1C14ED" w14:textId="77777777" w:rsidR="002F0601" w:rsidRDefault="002F0601"/>
    <w:sectPr w:rsidR="002F06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340C"/>
    <w:multiLevelType w:val="multilevel"/>
    <w:tmpl w:val="F49EFB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C90710"/>
    <w:multiLevelType w:val="multilevel"/>
    <w:tmpl w:val="5554D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990959">
    <w:abstractNumId w:val="1"/>
  </w:num>
  <w:num w:numId="2" w16cid:durableId="1003435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681"/>
    <w:rsid w:val="0019396A"/>
    <w:rsid w:val="00195681"/>
    <w:rsid w:val="002F0601"/>
    <w:rsid w:val="0030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3C9C7"/>
  <w15:chartTrackingRefBased/>
  <w15:docId w15:val="{5EC5964D-9A60-4628-8350-E807DA24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681"/>
  </w:style>
  <w:style w:type="paragraph" w:styleId="Heading1">
    <w:name w:val="heading 1"/>
    <w:basedOn w:val="Normal"/>
    <w:next w:val="Normal"/>
    <w:link w:val="Heading1Char"/>
    <w:uiPriority w:val="9"/>
    <w:qFormat/>
    <w:rsid w:val="00195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5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56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56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56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56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6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6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6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6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56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56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56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56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56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6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6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681"/>
    <w:rPr>
      <w:rFonts w:eastAsiaTheme="majorEastAsia" w:cstheme="majorBidi"/>
      <w:color w:val="272727" w:themeColor="text1" w:themeTint="D8"/>
    </w:rPr>
  </w:style>
  <w:style w:type="paragraph" w:styleId="Title">
    <w:name w:val="Title"/>
    <w:basedOn w:val="Normal"/>
    <w:next w:val="Normal"/>
    <w:link w:val="TitleChar"/>
    <w:uiPriority w:val="10"/>
    <w:qFormat/>
    <w:rsid w:val="00195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6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6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6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681"/>
    <w:pPr>
      <w:spacing w:before="160"/>
      <w:jc w:val="center"/>
    </w:pPr>
    <w:rPr>
      <w:i/>
      <w:iCs/>
      <w:color w:val="404040" w:themeColor="text1" w:themeTint="BF"/>
    </w:rPr>
  </w:style>
  <w:style w:type="character" w:customStyle="1" w:styleId="QuoteChar">
    <w:name w:val="Quote Char"/>
    <w:basedOn w:val="DefaultParagraphFont"/>
    <w:link w:val="Quote"/>
    <w:uiPriority w:val="29"/>
    <w:rsid w:val="00195681"/>
    <w:rPr>
      <w:i/>
      <w:iCs/>
      <w:color w:val="404040" w:themeColor="text1" w:themeTint="BF"/>
    </w:rPr>
  </w:style>
  <w:style w:type="paragraph" w:styleId="ListParagraph">
    <w:name w:val="List Paragraph"/>
    <w:basedOn w:val="Normal"/>
    <w:uiPriority w:val="34"/>
    <w:qFormat/>
    <w:rsid w:val="00195681"/>
    <w:pPr>
      <w:ind w:left="720"/>
      <w:contextualSpacing/>
    </w:pPr>
  </w:style>
  <w:style w:type="character" w:styleId="IntenseEmphasis">
    <w:name w:val="Intense Emphasis"/>
    <w:basedOn w:val="DefaultParagraphFont"/>
    <w:uiPriority w:val="21"/>
    <w:qFormat/>
    <w:rsid w:val="00195681"/>
    <w:rPr>
      <w:i/>
      <w:iCs/>
      <w:color w:val="0F4761" w:themeColor="accent1" w:themeShade="BF"/>
    </w:rPr>
  </w:style>
  <w:style w:type="paragraph" w:styleId="IntenseQuote">
    <w:name w:val="Intense Quote"/>
    <w:basedOn w:val="Normal"/>
    <w:next w:val="Normal"/>
    <w:link w:val="IntenseQuoteChar"/>
    <w:uiPriority w:val="30"/>
    <w:qFormat/>
    <w:rsid w:val="00195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5681"/>
    <w:rPr>
      <w:i/>
      <w:iCs/>
      <w:color w:val="0F4761" w:themeColor="accent1" w:themeShade="BF"/>
    </w:rPr>
  </w:style>
  <w:style w:type="character" w:styleId="IntenseReference">
    <w:name w:val="Intense Reference"/>
    <w:basedOn w:val="DefaultParagraphFont"/>
    <w:uiPriority w:val="32"/>
    <w:qFormat/>
    <w:rsid w:val="001956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ccoo-servicios.es/afilia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379</Words>
  <Characters>2165</Characters>
  <Application>Microsoft Office Word</Application>
  <DocSecurity>0</DocSecurity>
  <Lines>18</Lines>
  <Paragraphs>5</Paragraphs>
  <ScaleCrop>false</ScaleCrop>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CEBRIANO VARILLAS</dc:creator>
  <cp:keywords/>
  <dc:description/>
  <cp:lastModifiedBy>JOAQUIN CEBRIANO VARILLAS</cp:lastModifiedBy>
  <cp:revision>1</cp:revision>
  <dcterms:created xsi:type="dcterms:W3CDTF">2025-03-28T10:14:00Z</dcterms:created>
  <dcterms:modified xsi:type="dcterms:W3CDTF">2025-03-28T10:15:00Z</dcterms:modified>
</cp:coreProperties>
</file>